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82E70" w:rsidRPr="001F3166" w:rsidRDefault="00482E70" w:rsidP="00482E70">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FB18CA">
        <w:rPr>
          <w:rFonts w:eastAsia="Malgun Gothic"/>
          <w:noProof w:val="0"/>
          <w:sz w:val="24"/>
          <w:szCs w:val="24"/>
          <w:lang w:val="de-DE" w:eastAsia="ko-KR"/>
        </w:rPr>
        <w:t>904398</w:t>
      </w:r>
      <w:bookmarkStart w:id="3" w:name="_GoBack"/>
      <w:bookmarkEnd w:id="3"/>
    </w:p>
    <w:bookmarkEnd w:id="0"/>
    <w:bookmarkEnd w:id="1"/>
    <w:p w:rsidR="002E7C85" w:rsidRPr="0090404B" w:rsidRDefault="00482E70" w:rsidP="00482E70">
      <w:pPr>
        <w:pStyle w:val="Header"/>
        <w:spacing w:after="240"/>
        <w:rPr>
          <w:noProof w:val="0"/>
          <w:sz w:val="24"/>
          <w:szCs w:val="24"/>
          <w:lang w:val="en-US"/>
        </w:rPr>
      </w:pPr>
      <w:r>
        <w:rPr>
          <w:rFonts w:cs="Arial"/>
          <w:bCs/>
          <w:sz w:val="24"/>
          <w:szCs w:val="24"/>
          <w:lang w:eastAsia="ja-JP"/>
        </w:rPr>
        <w:t>Xian</w:t>
      </w:r>
      <w:r>
        <w:rPr>
          <w:rFonts w:cs="Arial"/>
          <w:bCs/>
          <w:sz w:val="24"/>
          <w:szCs w:val="24"/>
        </w:rPr>
        <w:t>, China, April 8</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12</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NR</w:t>
      </w:r>
      <w:r w:rsidR="00DF184E">
        <w:rPr>
          <w:rFonts w:ascii="Arial" w:eastAsia="SimSun" w:hAnsi="Arial" w:cs="Arial"/>
          <w:sz w:val="24"/>
          <w:szCs w:val="24"/>
          <w:lang w:eastAsia="zh-CN"/>
        </w:rPr>
        <w:t>-</w:t>
      </w:r>
      <w:r w:rsidR="0035764C">
        <w:rPr>
          <w:rFonts w:ascii="Arial" w:hAnsi="Arial" w:cs="Arial"/>
          <w:sz w:val="24"/>
          <w:szCs w:val="24"/>
        </w:rPr>
        <w:t>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rsidR="0034136F" w:rsidRDefault="008470A5" w:rsidP="008470A5">
      <w:pPr>
        <w:spacing w:after="0"/>
        <w:ind w:right="3"/>
        <w:jc w:val="both"/>
        <w:rPr>
          <w:rFonts w:eastAsia="SimSun"/>
          <w:bCs/>
          <w:lang w:eastAsia="zh-CN"/>
        </w:rPr>
      </w:pPr>
      <w:r w:rsidRPr="00273103">
        <w:rPr>
          <w:bCs/>
        </w:rPr>
        <w:t xml:space="preserve">This contribution considers </w:t>
      </w:r>
      <w:r w:rsidR="0034136F">
        <w:rPr>
          <w:rFonts w:eastAsia="SimSun"/>
          <w:bCs/>
          <w:lang w:eastAsia="zh-CN"/>
        </w:rPr>
        <w:t>UL pow</w:t>
      </w:r>
      <w:r w:rsidR="00482E70">
        <w:rPr>
          <w:rFonts w:eastAsia="SimSun"/>
          <w:bCs/>
          <w:lang w:eastAsia="zh-CN"/>
        </w:rPr>
        <w:t>er control for NR-DC</w:t>
      </w:r>
      <w:r w:rsidR="00E52747">
        <w:rPr>
          <w:rFonts w:eastAsia="SimSun"/>
          <w:bCs/>
          <w:lang w:eastAsia="zh-CN"/>
        </w:rPr>
        <w:t xml:space="preserve"> </w:t>
      </w:r>
      <w:r w:rsidR="00B55DBF">
        <w:rPr>
          <w:rFonts w:eastAsia="SimSun"/>
          <w:bCs/>
          <w:lang w:eastAsia="zh-CN"/>
        </w:rPr>
        <w:t xml:space="preserve">where both the MCG and SCG operate </w:t>
      </w:r>
      <w:r w:rsidR="00E2490C">
        <w:rPr>
          <w:rFonts w:eastAsia="SimSun"/>
          <w:bCs/>
          <w:lang w:eastAsia="zh-CN"/>
        </w:rPr>
        <w:t>on the same frequency range</w:t>
      </w:r>
      <w:r w:rsidR="0034136F">
        <w:rPr>
          <w:rFonts w:eastAsia="SimSun"/>
          <w:bCs/>
          <w:lang w:eastAsia="zh-CN"/>
        </w:rPr>
        <w:t xml:space="preserve"> [1].</w:t>
      </w:r>
    </w:p>
    <w:p w:rsidR="00477008" w:rsidRDefault="00477008" w:rsidP="005E01B7">
      <w:pPr>
        <w:spacing w:after="0"/>
        <w:ind w:right="3"/>
        <w:jc w:val="both"/>
      </w:pPr>
    </w:p>
    <w:p w:rsidR="008470A5" w:rsidRDefault="008470A5" w:rsidP="005E01B7">
      <w:pPr>
        <w:spacing w:after="0"/>
        <w:ind w:right="3"/>
        <w:jc w:val="both"/>
      </w:pPr>
    </w:p>
    <w:p w:rsidR="00CE086A" w:rsidRDefault="0034136F" w:rsidP="00CE086A">
      <w:pPr>
        <w:pStyle w:val="Heading1"/>
        <w:spacing w:before="0" w:after="60"/>
        <w:rPr>
          <w:szCs w:val="36"/>
          <w:lang w:val="en-US"/>
        </w:rPr>
      </w:pPr>
      <w:r>
        <w:rPr>
          <w:szCs w:val="36"/>
          <w:lang w:val="en-US"/>
        </w:rPr>
        <w:t>UL power control</w:t>
      </w:r>
      <w:r w:rsidR="00CE086A">
        <w:rPr>
          <w:szCs w:val="36"/>
          <w:lang w:val="en-US"/>
        </w:rPr>
        <w:t xml:space="preserve"> </w:t>
      </w:r>
      <w:r>
        <w:rPr>
          <w:szCs w:val="36"/>
          <w:lang w:val="en-US"/>
        </w:rPr>
        <w:t>for NR-NR DC</w:t>
      </w:r>
      <w:r w:rsidR="00CE086A">
        <w:rPr>
          <w:szCs w:val="36"/>
          <w:lang w:val="en-US"/>
        </w:rPr>
        <w:t xml:space="preserve"> </w:t>
      </w:r>
    </w:p>
    <w:p w:rsidR="00083370" w:rsidRDefault="00B55DBF" w:rsidP="00CE086A">
      <w:pPr>
        <w:spacing w:after="0"/>
        <w:jc w:val="both"/>
      </w:pPr>
      <w:r>
        <w:rPr>
          <w:rFonts w:cs="Arial"/>
          <w:kern w:val="2"/>
          <w:lang w:eastAsia="ja-JP"/>
        </w:rPr>
        <w:t xml:space="preserve">NR Rel-15 supports DC operation on a same frequency range (FR1) where the MCG-SCG operates with LTE-NR (EN-DC) or NR-LTE (NE-DC). </w:t>
      </w:r>
      <w:r w:rsidR="00083370">
        <w:rPr>
          <w:rFonts w:cs="Arial"/>
          <w:kern w:val="2"/>
          <w:lang w:eastAsia="ja-JP"/>
        </w:rPr>
        <w:t>To avoid coverage limitations while not increasing latency and, in general, to avoid UE transmission power under-utilization, d</w:t>
      </w:r>
      <w:r w:rsidR="009F11A8">
        <w:rPr>
          <w:rFonts w:cs="Arial"/>
          <w:kern w:val="2"/>
          <w:lang w:eastAsia="ja-JP"/>
        </w:rPr>
        <w:t>ynamic power sharing</w:t>
      </w:r>
      <w:r w:rsidR="00083370">
        <w:rPr>
          <w:rFonts w:cs="Arial"/>
          <w:kern w:val="2"/>
          <w:lang w:eastAsia="ja-JP"/>
        </w:rPr>
        <w:t xml:space="preserve"> was first agreed. Subsequently, as LTE and NR are typically supported by different </w:t>
      </w:r>
      <w:r w:rsidR="009F11A8">
        <w:rPr>
          <w:rFonts w:cs="Arial"/>
          <w:kern w:val="2"/>
          <w:lang w:eastAsia="ja-JP"/>
        </w:rPr>
        <w:t xml:space="preserve">UE </w:t>
      </w:r>
      <w:r w:rsidR="00083370">
        <w:rPr>
          <w:rFonts w:cs="Arial"/>
          <w:kern w:val="2"/>
          <w:lang w:eastAsia="ja-JP"/>
        </w:rPr>
        <w:t xml:space="preserve">modems and as inter-modem communication cannot be always guaranteed to be fast enough to enable exchanging and adjusting required transmission power at a later time, particularly for NR, support for semi-static </w:t>
      </w:r>
      <w:r w:rsidR="009F11A8">
        <w:rPr>
          <w:rFonts w:cs="Arial"/>
          <w:kern w:val="2"/>
          <w:lang w:eastAsia="ja-JP"/>
        </w:rPr>
        <w:t>power</w:t>
      </w:r>
      <w:r w:rsidR="00083370">
        <w:rPr>
          <w:rFonts w:cs="Arial"/>
          <w:kern w:val="2"/>
          <w:lang w:eastAsia="ja-JP"/>
        </w:rPr>
        <w:t xml:space="preserve"> </w:t>
      </w:r>
      <w:r w:rsidR="009F11A8">
        <w:rPr>
          <w:rFonts w:cs="Arial"/>
          <w:kern w:val="2"/>
          <w:lang w:eastAsia="ja-JP"/>
        </w:rPr>
        <w:t>sharing was also agreed as a complementary mechanism</w:t>
      </w:r>
      <w:r w:rsidR="00F71F4B">
        <w:rPr>
          <w:rFonts w:cs="Arial"/>
          <w:kern w:val="2"/>
          <w:lang w:eastAsia="ja-JP"/>
        </w:rPr>
        <w:t>. This was with t</w:t>
      </w:r>
      <w:r w:rsidR="009F11A8">
        <w:rPr>
          <w:rFonts w:cs="Arial"/>
          <w:kern w:val="2"/>
          <w:lang w:eastAsia="ja-JP"/>
        </w:rPr>
        <w:t xml:space="preserve">he understanding </w:t>
      </w:r>
      <w:r w:rsidR="00F71F4B">
        <w:rPr>
          <w:rFonts w:cs="Arial"/>
          <w:kern w:val="2"/>
          <w:lang w:eastAsia="ja-JP"/>
        </w:rPr>
        <w:t>that semi-static power sharing</w:t>
      </w:r>
      <w:r w:rsidR="009F11A8">
        <w:rPr>
          <w:rFonts w:cs="Arial"/>
          <w:kern w:val="2"/>
          <w:lang w:eastAsia="ja-JP"/>
        </w:rPr>
        <w:t xml:space="preserve"> </w:t>
      </w:r>
      <w:r w:rsidR="009F11A8" w:rsidRPr="0060247C">
        <w:t>can become obsolete</w:t>
      </w:r>
      <w:r w:rsidR="009F11A8">
        <w:t xml:space="preserve"> if dynamic power sharing </w:t>
      </w:r>
      <w:r w:rsidR="00F71F4B">
        <w:t>is mandated at a later time [2]. For certain band combinations and/or resource allocations, simultaneous UL transmissions from a UE on different bands can cause intermodulation products and degrade receiver sensitivity. However, this is a separate issue that is already addressed by single UL switched transmissions in Rel-15 (with some functional enhancements to improve scheduling opportunities considered in Rel-16) and is not further considered in this contribution.</w:t>
      </w:r>
    </w:p>
    <w:p w:rsidR="00F71F4B" w:rsidRDefault="00F71F4B" w:rsidP="00CE086A">
      <w:pPr>
        <w:spacing w:after="0"/>
        <w:jc w:val="both"/>
      </w:pPr>
    </w:p>
    <w:p w:rsidR="008F48BF" w:rsidRDefault="00F71F4B" w:rsidP="00EB0262">
      <w:pPr>
        <w:spacing w:after="0"/>
        <w:jc w:val="both"/>
        <w:rPr>
          <w:rFonts w:cs="Arial"/>
          <w:kern w:val="2"/>
          <w:lang w:eastAsia="ja-JP"/>
        </w:rPr>
      </w:pPr>
      <w:r>
        <w:rPr>
          <w:rFonts w:cs="Arial"/>
          <w:kern w:val="2"/>
          <w:lang w:eastAsia="ja-JP"/>
        </w:rPr>
        <w:t xml:space="preserve">Overall, UL power control for DC operation is a highly mature subject with extensive </w:t>
      </w:r>
      <w:r w:rsidR="00E52747">
        <w:rPr>
          <w:rFonts w:cs="Arial"/>
          <w:kern w:val="2"/>
          <w:lang w:eastAsia="ja-JP"/>
        </w:rPr>
        <w:t xml:space="preserve">work done both in LTE and in NR. For </w:t>
      </w:r>
      <w:r w:rsidR="008F48BF">
        <w:rPr>
          <w:rFonts w:cs="Arial"/>
          <w:kern w:val="2"/>
          <w:lang w:eastAsia="ja-JP"/>
        </w:rPr>
        <w:t>NR-DC</w:t>
      </w:r>
      <w:r w:rsidR="00E52747">
        <w:rPr>
          <w:rFonts w:cs="Arial"/>
          <w:kern w:val="2"/>
          <w:lang w:eastAsia="ja-JP"/>
        </w:rPr>
        <w:t xml:space="preserve">, a same UE modem </w:t>
      </w:r>
      <w:r w:rsidR="008F48BF">
        <w:rPr>
          <w:rFonts w:cs="Arial"/>
          <w:kern w:val="2"/>
          <w:lang w:eastAsia="ja-JP"/>
        </w:rPr>
        <w:t>is expected to</w:t>
      </w:r>
      <w:r w:rsidR="00E52747">
        <w:rPr>
          <w:rFonts w:cs="Arial"/>
          <w:kern w:val="2"/>
          <w:lang w:eastAsia="ja-JP"/>
        </w:rPr>
        <w:t xml:space="preserve"> be used for communication with both CGs</w:t>
      </w:r>
      <w:r w:rsidR="008F48BF">
        <w:rPr>
          <w:rFonts w:cs="Arial"/>
          <w:kern w:val="2"/>
          <w:lang w:eastAsia="ja-JP"/>
        </w:rPr>
        <w:t xml:space="preserve"> – i.e. having separate hardware for NR-DC is not deemed to be a typical implementation</w:t>
      </w:r>
      <w:r w:rsidR="00E52747">
        <w:rPr>
          <w:rFonts w:cs="Arial"/>
          <w:kern w:val="2"/>
          <w:lang w:eastAsia="ja-JP"/>
        </w:rPr>
        <w:t>. Inter-modem communication delay considerations for EN-DC are not applicable. Also, power allocation and MPR/A-MPR determination are simpler than for EN-DC.</w:t>
      </w:r>
      <w:r w:rsidR="008F48BF">
        <w:rPr>
          <w:rFonts w:cs="Arial"/>
          <w:kern w:val="2"/>
          <w:lang w:eastAsia="ja-JP"/>
        </w:rPr>
        <w:t xml:space="preserve"> </w:t>
      </w:r>
    </w:p>
    <w:p w:rsidR="008F48BF" w:rsidRDefault="008F48BF" w:rsidP="00EB0262">
      <w:pPr>
        <w:spacing w:after="0"/>
        <w:jc w:val="both"/>
        <w:rPr>
          <w:rFonts w:cs="Arial"/>
          <w:kern w:val="2"/>
          <w:lang w:eastAsia="ja-JP"/>
        </w:rPr>
      </w:pPr>
    </w:p>
    <w:p w:rsidR="008F48BF" w:rsidRDefault="008F48BF" w:rsidP="00EB0262">
      <w:pPr>
        <w:spacing w:after="0"/>
        <w:jc w:val="both"/>
        <w:rPr>
          <w:rFonts w:cs="Arial"/>
          <w:kern w:val="2"/>
          <w:lang w:eastAsia="ja-JP"/>
        </w:rPr>
      </w:pPr>
      <w:r>
        <w:rPr>
          <w:rFonts w:cs="Arial"/>
          <w:kern w:val="2"/>
          <w:lang w:eastAsia="ja-JP"/>
        </w:rPr>
        <w:t>The main discussion points currently are on whether semi-static power sharing needs to be suppor</w:t>
      </w:r>
      <w:r w:rsidR="007D7B1C">
        <w:rPr>
          <w:rFonts w:cs="Arial"/>
          <w:kern w:val="2"/>
          <w:lang w:eastAsia="ja-JP"/>
        </w:rPr>
        <w:t>ted by a separate procedure</w:t>
      </w:r>
      <w:r>
        <w:rPr>
          <w:rFonts w:cs="Arial"/>
          <w:kern w:val="2"/>
          <w:lang w:eastAsia="ja-JP"/>
        </w:rPr>
        <w:t xml:space="preserve"> than dynamic power sharing </w:t>
      </w:r>
      <w:r w:rsidR="007D7B1C">
        <w:rPr>
          <w:rFonts w:cs="Arial"/>
          <w:kern w:val="2"/>
          <w:lang w:eastAsia="ja-JP"/>
        </w:rPr>
        <w:t xml:space="preserve">or can be a configuration mode of a single procedure, </w:t>
      </w:r>
      <w:r>
        <w:rPr>
          <w:rFonts w:cs="Arial"/>
          <w:kern w:val="2"/>
          <w:lang w:eastAsia="ja-JP"/>
        </w:rPr>
        <w:t>and on the details of a</w:t>
      </w:r>
      <w:r w:rsidR="007D7B1C">
        <w:rPr>
          <w:rFonts w:cs="Arial"/>
          <w:kern w:val="2"/>
          <w:lang w:eastAsia="ja-JP"/>
        </w:rPr>
        <w:t xml:space="preserve"> dynamic power sharing</w:t>
      </w:r>
      <w:r>
        <w:rPr>
          <w:rFonts w:cs="Arial"/>
          <w:kern w:val="2"/>
          <w:lang w:eastAsia="ja-JP"/>
        </w:rPr>
        <w:t>.</w:t>
      </w:r>
    </w:p>
    <w:p w:rsidR="008F48BF" w:rsidRDefault="008F48BF" w:rsidP="00EB0262">
      <w:pPr>
        <w:spacing w:after="0"/>
        <w:jc w:val="both"/>
        <w:rPr>
          <w:rFonts w:cs="Arial"/>
          <w:kern w:val="2"/>
          <w:lang w:eastAsia="ja-JP"/>
        </w:rPr>
      </w:pPr>
    </w:p>
    <w:p w:rsidR="00A8174F" w:rsidRDefault="007D7B1C" w:rsidP="007D7B1C">
      <w:pPr>
        <w:spacing w:after="0"/>
        <w:jc w:val="both"/>
        <w:rPr>
          <w:rFonts w:cs="Arial"/>
          <w:kern w:val="2"/>
          <w:lang w:eastAsia="ja-JP"/>
        </w:rPr>
      </w:pPr>
      <w:r>
        <w:rPr>
          <w:rFonts w:cs="Arial"/>
          <w:kern w:val="2"/>
          <w:lang w:eastAsia="ja-JP"/>
        </w:rPr>
        <w:t xml:space="preserve">Dynamic power sharing is beneficial to avoid coverage loss (for a given latency) and reduction in UL (and possibly DL if UCI is also affected) spectral efficiency. For example, one typical case for NR-DC is for a MCG that is a macro-cell providing coverage/mobility support and a SCG that is a small cell providing data offloading. It should be obvious that a semi-static power sharing will be highly detrimental for such operation, both in terms of coverage and UL (and possibly DL) spectral efficiency. Although the details of dynamic power sharing are to be determined, it is expected that </w:t>
      </w:r>
      <w:r w:rsidR="00A00C21">
        <w:rPr>
          <w:rFonts w:cs="Arial"/>
          <w:kern w:val="2"/>
          <w:lang w:eastAsia="ja-JP"/>
        </w:rPr>
        <w:t>semi-static power sharing can result through a configuration of parameters values by the network</w:t>
      </w:r>
      <w:r w:rsidR="00A8174F">
        <w:rPr>
          <w:rFonts w:cs="Arial"/>
          <w:kern w:val="2"/>
          <w:lang w:eastAsia="ja-JP"/>
        </w:rPr>
        <w:t xml:space="preserve"> for dynamic power sharing</w:t>
      </w:r>
      <w:r w:rsidR="00A00C21">
        <w:rPr>
          <w:rFonts w:cs="Arial"/>
          <w:kern w:val="2"/>
          <w:lang w:eastAsia="ja-JP"/>
        </w:rPr>
        <w:t>.</w:t>
      </w:r>
      <w:r w:rsidR="00A8174F">
        <w:rPr>
          <w:rFonts w:cs="Arial"/>
          <w:kern w:val="2"/>
          <w:lang w:eastAsia="ja-JP"/>
        </w:rPr>
        <w:t xml:space="preserve"> </w:t>
      </w:r>
      <w:r w:rsidR="00FA2012">
        <w:rPr>
          <w:rFonts w:cs="Arial"/>
          <w:kern w:val="2"/>
          <w:lang w:eastAsia="ja-JP"/>
        </w:rPr>
        <w:t>For example, dynamic power sharing can include configuration of maximum transmission power per CG and, if the sum is equal to P</w:t>
      </w:r>
      <w:r w:rsidR="00FA2012" w:rsidRPr="00192B7F">
        <w:rPr>
          <w:rFonts w:cs="Arial"/>
          <w:kern w:val="2"/>
          <w:vertAlign w:val="subscript"/>
          <w:lang w:eastAsia="ja-JP"/>
        </w:rPr>
        <w:t>CMA</w:t>
      </w:r>
      <w:r w:rsidR="00FA2012">
        <w:rPr>
          <w:rFonts w:cs="Arial"/>
          <w:kern w:val="2"/>
          <w:vertAlign w:val="subscript"/>
          <w:lang w:eastAsia="ja-JP"/>
        </w:rPr>
        <w:t>X</w:t>
      </w:r>
      <w:r w:rsidR="00FA2012">
        <w:rPr>
          <w:rFonts w:cs="Arial"/>
          <w:kern w:val="2"/>
          <w:lang w:eastAsia="ja-JP"/>
        </w:rPr>
        <w:t xml:space="preserve">, semi-static power sharing is achieved. </w:t>
      </w:r>
      <w:r w:rsidR="00A8174F">
        <w:rPr>
          <w:rFonts w:cs="Arial"/>
          <w:kern w:val="2"/>
          <w:lang w:eastAsia="ja-JP"/>
        </w:rPr>
        <w:t>Therefore, a separate procedure for semi-static power sharing is not justifiable.</w:t>
      </w:r>
    </w:p>
    <w:p w:rsidR="00A8174F" w:rsidRDefault="00A8174F" w:rsidP="007D7B1C">
      <w:pPr>
        <w:spacing w:after="0"/>
        <w:jc w:val="both"/>
        <w:rPr>
          <w:rFonts w:cs="Arial"/>
          <w:kern w:val="2"/>
          <w:lang w:eastAsia="ja-JP"/>
        </w:rPr>
      </w:pPr>
    </w:p>
    <w:p w:rsidR="00A8174F" w:rsidRPr="00A8174F" w:rsidRDefault="00A8174F" w:rsidP="00A8174F">
      <w:pPr>
        <w:spacing w:after="0"/>
        <w:jc w:val="both"/>
        <w:rPr>
          <w:u w:val="single"/>
        </w:rPr>
      </w:pPr>
      <w:r w:rsidRPr="00A8174F">
        <w:rPr>
          <w:rFonts w:cs="Arial"/>
          <w:b/>
          <w:kern w:val="2"/>
          <w:u w:val="single"/>
          <w:lang w:eastAsia="ja-JP"/>
        </w:rPr>
        <w:t xml:space="preserve">Observation </w:t>
      </w:r>
      <w:r w:rsidRPr="00A8174F">
        <w:rPr>
          <w:rFonts w:eastAsia="SimSun" w:cs="Arial"/>
          <w:b/>
          <w:kern w:val="2"/>
          <w:u w:val="single"/>
          <w:lang w:eastAsia="zh-CN"/>
        </w:rPr>
        <w:t>1</w:t>
      </w:r>
      <w:r w:rsidRPr="00A8174F">
        <w:rPr>
          <w:rFonts w:cs="Arial"/>
          <w:kern w:val="2"/>
          <w:u w:val="single"/>
          <w:lang w:eastAsia="ja-JP"/>
        </w:rPr>
        <w:t>: Dynamic power sharing is required to avoid losses in coverage and spectral efficiency for NR-DC</w:t>
      </w:r>
      <w:r w:rsidRPr="00A8174F">
        <w:rPr>
          <w:u w:val="single"/>
        </w:rPr>
        <w:t xml:space="preserve">. Semi-static power sharing is expected to result through configuration of parameter values for dynamic power sharing. </w:t>
      </w:r>
    </w:p>
    <w:p w:rsidR="00FA2012" w:rsidRDefault="00A00C21" w:rsidP="00EB0262">
      <w:pPr>
        <w:spacing w:after="0"/>
        <w:jc w:val="both"/>
        <w:rPr>
          <w:rFonts w:cs="Arial"/>
          <w:kern w:val="2"/>
          <w:lang w:eastAsia="ja-JP"/>
        </w:rPr>
      </w:pPr>
      <w:r>
        <w:rPr>
          <w:rFonts w:cs="Arial"/>
          <w:kern w:val="2"/>
          <w:lang w:eastAsia="ja-JP"/>
        </w:rPr>
        <w:t xml:space="preserve"> </w:t>
      </w:r>
    </w:p>
    <w:p w:rsidR="00FA2012" w:rsidRDefault="00FA2012" w:rsidP="00EB0262">
      <w:pPr>
        <w:spacing w:after="0"/>
        <w:jc w:val="both"/>
        <w:rPr>
          <w:rFonts w:cs="Arial"/>
          <w:kern w:val="2"/>
          <w:lang w:eastAsia="ja-JP"/>
        </w:rPr>
      </w:pPr>
    </w:p>
    <w:p w:rsidR="00272703" w:rsidRDefault="00A8174F" w:rsidP="00EB0262">
      <w:pPr>
        <w:spacing w:after="0"/>
        <w:jc w:val="both"/>
        <w:rPr>
          <w:rFonts w:cs="Arial"/>
          <w:kern w:val="2"/>
          <w:lang w:eastAsia="ja-JP"/>
        </w:rPr>
      </w:pPr>
      <w:r>
        <w:rPr>
          <w:rFonts w:cs="Arial"/>
          <w:kern w:val="2"/>
          <w:lang w:eastAsia="ja-JP"/>
        </w:rPr>
        <w:t xml:space="preserve">With dynamic power sharing, a UE should be able to allocate power to </w:t>
      </w:r>
      <w:r w:rsidR="00F827FA">
        <w:rPr>
          <w:rFonts w:cs="Arial"/>
          <w:kern w:val="2"/>
          <w:lang w:eastAsia="ja-JP"/>
        </w:rPr>
        <w:t>a transmission on one CG while considering ongoing, and possible upcoming</w:t>
      </w:r>
      <w:r w:rsidR="009E1858">
        <w:rPr>
          <w:rFonts w:cs="Arial"/>
          <w:kern w:val="2"/>
          <w:lang w:eastAsia="ja-JP"/>
        </w:rPr>
        <w:t xml:space="preserve"> (later scheduled)</w:t>
      </w:r>
      <w:r w:rsidR="00F827FA">
        <w:rPr>
          <w:rFonts w:cs="Arial"/>
          <w:kern w:val="2"/>
          <w:lang w:eastAsia="ja-JP"/>
        </w:rPr>
        <w:t>, transmissions on</w:t>
      </w:r>
      <w:r w:rsidR="00922AB5">
        <w:rPr>
          <w:rFonts w:cs="Arial"/>
          <w:kern w:val="2"/>
          <w:lang w:eastAsia="ja-JP"/>
        </w:rPr>
        <w:t xml:space="preserve"> </w:t>
      </w:r>
      <w:r w:rsidR="00831EA9">
        <w:rPr>
          <w:rFonts w:cs="Arial"/>
          <w:kern w:val="2"/>
          <w:lang w:eastAsia="ja-JP"/>
        </w:rPr>
        <w:t>the other CG</w:t>
      </w:r>
      <w:r w:rsidR="00F827FA">
        <w:rPr>
          <w:rFonts w:cs="Arial"/>
          <w:kern w:val="2"/>
          <w:lang w:eastAsia="ja-JP"/>
        </w:rPr>
        <w:t>.</w:t>
      </w:r>
      <w:r>
        <w:rPr>
          <w:rFonts w:cs="Arial"/>
          <w:kern w:val="2"/>
          <w:lang w:eastAsia="ja-JP"/>
        </w:rPr>
        <w:t xml:space="preserve"> </w:t>
      </w:r>
      <w:r w:rsidR="00FA2012">
        <w:rPr>
          <w:rFonts w:cs="Arial"/>
          <w:kern w:val="2"/>
          <w:lang w:eastAsia="ja-JP"/>
        </w:rPr>
        <w:t xml:space="preserve">To protect transmissions that are not expected to require large power, such as PUCCH transmissions that are narrow-band or SRS transmissions in a small cell that experience small path-loss and can be with frequency hopping, a minimum guaranteed </w:t>
      </w:r>
      <w:r w:rsidR="00272703">
        <w:rPr>
          <w:rFonts w:cs="Arial"/>
          <w:kern w:val="2"/>
          <w:lang w:eastAsia="ja-JP"/>
        </w:rPr>
        <w:t xml:space="preserve">power per CG can be configured. </w:t>
      </w:r>
    </w:p>
    <w:p w:rsidR="00272703" w:rsidRDefault="00272703" w:rsidP="00EB0262">
      <w:pPr>
        <w:spacing w:after="0"/>
        <w:jc w:val="both"/>
        <w:rPr>
          <w:rFonts w:cs="Arial"/>
          <w:kern w:val="2"/>
          <w:lang w:eastAsia="ja-JP"/>
        </w:rPr>
      </w:pPr>
    </w:p>
    <w:p w:rsidR="00AE3E1D" w:rsidRDefault="00AE3E1D" w:rsidP="00EB0262">
      <w:pPr>
        <w:spacing w:after="0"/>
        <w:jc w:val="both"/>
        <w:rPr>
          <w:rFonts w:cs="Arial"/>
          <w:kern w:val="2"/>
          <w:lang w:eastAsia="ja-JP"/>
        </w:rPr>
      </w:pPr>
      <w:r>
        <w:rPr>
          <w:rFonts w:cs="Arial"/>
          <w:kern w:val="2"/>
          <w:lang w:eastAsia="ja-JP"/>
        </w:rPr>
        <w:t xml:space="preserve">It is noted that except for the case the NR-DC operates as in LTE with same SCS in all cells of both cell groups and with PUCCH/PUSCH transmissions occurring at the beginning of the slot, NR-DC operation is practically always asynchronous. For example, for PUSCH scheduling starting at an arbitrary symbol of a slot, as for operation with mixed </w:t>
      </w:r>
      <w:r>
        <w:rPr>
          <w:rFonts w:cs="Arial"/>
          <w:kern w:val="2"/>
          <w:lang w:eastAsia="ja-JP"/>
        </w:rPr>
        <w:lastRenderedPageBreak/>
        <w:t>and/or dynamic slot format, or for cells with different SCS (even in the same cell group), there is no notion of synchronous operation at least in terms of determining a transmission power across cells.</w:t>
      </w:r>
    </w:p>
    <w:p w:rsidR="00AE3E1D" w:rsidRDefault="00AE3E1D" w:rsidP="00EB0262">
      <w:pPr>
        <w:spacing w:after="0"/>
        <w:jc w:val="both"/>
        <w:rPr>
          <w:rFonts w:cs="Arial"/>
          <w:kern w:val="2"/>
          <w:lang w:eastAsia="ja-JP"/>
        </w:rPr>
      </w:pPr>
    </w:p>
    <w:p w:rsidR="00762B7F" w:rsidRDefault="002A332E" w:rsidP="00EB0262">
      <w:pPr>
        <w:spacing w:after="0"/>
        <w:jc w:val="both"/>
        <w:rPr>
          <w:rFonts w:cs="Arial"/>
          <w:kern w:val="2"/>
          <w:lang w:eastAsia="ja-JP"/>
        </w:rPr>
      </w:pPr>
      <w:r>
        <w:rPr>
          <w:rFonts w:cs="Arial"/>
          <w:kern w:val="2"/>
          <w:lang w:eastAsia="ja-JP"/>
        </w:rPr>
        <w:t>An</w:t>
      </w:r>
      <w:r w:rsidR="00AE3E1D">
        <w:rPr>
          <w:rFonts w:cs="Arial"/>
          <w:kern w:val="2"/>
          <w:lang w:eastAsia="ja-JP"/>
        </w:rPr>
        <w:t xml:space="preserve"> issue </w:t>
      </w:r>
      <w:r>
        <w:rPr>
          <w:rFonts w:cs="Arial"/>
          <w:kern w:val="2"/>
          <w:lang w:eastAsia="ja-JP"/>
        </w:rPr>
        <w:t xml:space="preserve">with dynamic power sharing </w:t>
      </w:r>
      <w:r w:rsidR="00AE3E1D">
        <w:rPr>
          <w:rFonts w:cs="Arial"/>
          <w:kern w:val="2"/>
          <w:lang w:eastAsia="ja-JP"/>
        </w:rPr>
        <w:t>is the power allocation</w:t>
      </w:r>
      <w:r>
        <w:rPr>
          <w:rFonts w:cs="Arial"/>
          <w:kern w:val="2"/>
          <w:lang w:eastAsia="ja-JP"/>
        </w:rPr>
        <w:t xml:space="preserve"> when the transmissions in the cell groups do not start exactly at the same time (“asynchronous NR-DC” although the term is not appropriate).</w:t>
      </w:r>
      <w:r w:rsidR="00120E61">
        <w:rPr>
          <w:rFonts w:cs="Arial"/>
          <w:kern w:val="2"/>
          <w:lang w:eastAsia="ja-JP"/>
        </w:rPr>
        <w:t xml:space="preserve"> </w:t>
      </w:r>
    </w:p>
    <w:p w:rsidR="00762B7F" w:rsidRDefault="00762B7F" w:rsidP="00EB0262">
      <w:pPr>
        <w:spacing w:after="0"/>
        <w:jc w:val="both"/>
        <w:rPr>
          <w:rFonts w:cs="Arial"/>
          <w:kern w:val="2"/>
          <w:lang w:eastAsia="ja-JP"/>
        </w:rPr>
      </w:pPr>
    </w:p>
    <w:p w:rsidR="00762B7F" w:rsidRDefault="00AE3E1D" w:rsidP="00EB0262">
      <w:pPr>
        <w:spacing w:after="0"/>
        <w:jc w:val="both"/>
        <w:rPr>
          <w:rFonts w:cs="Arial"/>
          <w:kern w:val="2"/>
          <w:lang w:eastAsia="ja-JP"/>
        </w:rPr>
      </w:pPr>
      <w:r>
        <w:rPr>
          <w:rFonts w:cs="Arial"/>
          <w:kern w:val="2"/>
          <w:lang w:eastAsia="ja-JP"/>
        </w:rPr>
        <w:t xml:space="preserve">One approach is to prioritize power allocation to ongoing transmissions </w:t>
      </w:r>
      <w:r w:rsidR="002A332E">
        <w:rPr>
          <w:rFonts w:cs="Arial"/>
          <w:kern w:val="2"/>
          <w:lang w:eastAsia="ja-JP"/>
        </w:rPr>
        <w:t xml:space="preserve">as in LTE DC </w:t>
      </w:r>
      <w:r>
        <w:rPr>
          <w:rFonts w:cs="Arial"/>
          <w:kern w:val="2"/>
          <w:lang w:eastAsia="ja-JP"/>
        </w:rPr>
        <w:t>(</w:t>
      </w:r>
      <w:r w:rsidR="002A332E">
        <w:rPr>
          <w:rFonts w:cs="Arial"/>
          <w:kern w:val="2"/>
          <w:lang w:eastAsia="ja-JP"/>
        </w:rPr>
        <w:t xml:space="preserve">i.e. </w:t>
      </w:r>
      <w:r>
        <w:rPr>
          <w:rFonts w:cs="Arial"/>
          <w:kern w:val="2"/>
          <w:lang w:eastAsia="ja-JP"/>
        </w:rPr>
        <w:t>no ‘look-ahead</w:t>
      </w:r>
      <w:r w:rsidR="002A332E">
        <w:rPr>
          <w:rFonts w:cs="Arial"/>
          <w:kern w:val="2"/>
          <w:lang w:eastAsia="ja-JP"/>
        </w:rPr>
        <w:t>’</w:t>
      </w:r>
      <w:r>
        <w:rPr>
          <w:rFonts w:cs="Arial"/>
          <w:kern w:val="2"/>
          <w:lang w:eastAsia="ja-JP"/>
        </w:rPr>
        <w:t xml:space="preserve">). </w:t>
      </w:r>
      <w:r w:rsidR="00120E61">
        <w:rPr>
          <w:rFonts w:cs="Arial"/>
          <w:kern w:val="2"/>
          <w:lang w:eastAsia="ja-JP"/>
        </w:rPr>
        <w:t xml:space="preserve">However, this diminishes the possibility to guarantee certain transmissions only to the case of synchronous DC with LTE-like operation (fixed start time of all transmissions, same SCS in all cells). </w:t>
      </w:r>
    </w:p>
    <w:p w:rsidR="00762B7F" w:rsidRDefault="00762B7F" w:rsidP="00EB0262">
      <w:pPr>
        <w:spacing w:after="0"/>
        <w:jc w:val="both"/>
        <w:rPr>
          <w:rFonts w:cs="Arial"/>
          <w:kern w:val="2"/>
          <w:lang w:eastAsia="ja-JP"/>
        </w:rPr>
      </w:pPr>
    </w:p>
    <w:p w:rsidR="00762B7F" w:rsidRDefault="00762B7F" w:rsidP="00EB0262">
      <w:pPr>
        <w:spacing w:after="0"/>
        <w:jc w:val="both"/>
        <w:rPr>
          <w:rFonts w:cs="Arial"/>
          <w:kern w:val="2"/>
          <w:lang w:eastAsia="ja-JP"/>
        </w:rPr>
      </w:pPr>
      <w:r>
        <w:rPr>
          <w:rFonts w:cs="Arial"/>
          <w:kern w:val="2"/>
          <w:lang w:eastAsia="ja-JP"/>
        </w:rPr>
        <w:t xml:space="preserve">Another approach is for a UE to dynamically adjust a transmission power (when a maximum transmission power is exceeded) based on the prioritization of associated information types. This also does not protect transmissions and, depending on the level of power scaling, it may lead to phase discontinuity (e.g. better to drop a transmission if it is to be power scaled beyond a threshold – similar to EN-DC in Rel-15 using the </w:t>
      </w:r>
      <w:r w:rsidRPr="00163936">
        <w:rPr>
          <w:i/>
        </w:rPr>
        <w:t>X</w:t>
      </w:r>
      <w:r w:rsidRPr="00163936">
        <w:rPr>
          <w:i/>
          <w:vertAlign w:val="subscript"/>
        </w:rPr>
        <w:t>SCALE</w:t>
      </w:r>
      <w:r>
        <w:rPr>
          <w:rFonts w:cs="Arial"/>
          <w:kern w:val="2"/>
          <w:lang w:eastAsia="ja-JP"/>
        </w:rPr>
        <w:t xml:space="preserve"> value).   </w:t>
      </w:r>
    </w:p>
    <w:p w:rsidR="00762B7F" w:rsidRDefault="00762B7F" w:rsidP="00EB0262">
      <w:pPr>
        <w:spacing w:after="0"/>
        <w:jc w:val="both"/>
        <w:rPr>
          <w:rFonts w:cs="Arial"/>
          <w:kern w:val="2"/>
          <w:lang w:eastAsia="ja-JP"/>
        </w:rPr>
      </w:pPr>
    </w:p>
    <w:p w:rsidR="00FA2012" w:rsidRDefault="00120E61" w:rsidP="00EB0262">
      <w:pPr>
        <w:spacing w:after="0"/>
        <w:jc w:val="both"/>
        <w:rPr>
          <w:rFonts w:cs="Arial"/>
          <w:kern w:val="2"/>
          <w:lang w:eastAsia="ja-JP"/>
        </w:rPr>
      </w:pPr>
      <w:r>
        <w:rPr>
          <w:rFonts w:cs="Arial"/>
          <w:kern w:val="2"/>
          <w:lang w:eastAsia="ja-JP"/>
        </w:rPr>
        <w:t xml:space="preserve">Another approach is for a UE to determine a power of a signal/channel transmission at a given time by considering a power </w:t>
      </w:r>
      <w:r w:rsidR="009E1858">
        <w:rPr>
          <w:rFonts w:cs="Arial"/>
          <w:kern w:val="2"/>
          <w:lang w:eastAsia="ja-JP"/>
        </w:rPr>
        <w:t>of overlapping</w:t>
      </w:r>
      <w:r>
        <w:rPr>
          <w:rFonts w:cs="Arial"/>
          <w:kern w:val="2"/>
          <w:lang w:eastAsia="ja-JP"/>
        </w:rPr>
        <w:t xml:space="preserve"> signal/channel transmission</w:t>
      </w:r>
      <w:r w:rsidR="009E1858">
        <w:rPr>
          <w:rFonts w:cs="Arial"/>
          <w:kern w:val="2"/>
          <w:lang w:eastAsia="ja-JP"/>
        </w:rPr>
        <w:t>s</w:t>
      </w:r>
      <w:r>
        <w:rPr>
          <w:rFonts w:cs="Arial"/>
          <w:kern w:val="2"/>
          <w:lang w:eastAsia="ja-JP"/>
        </w:rPr>
        <w:t xml:space="preserve"> that </w:t>
      </w:r>
      <w:r w:rsidR="009E1858">
        <w:rPr>
          <w:rFonts w:cs="Arial"/>
          <w:kern w:val="2"/>
          <w:lang w:eastAsia="ja-JP"/>
        </w:rPr>
        <w:t>are scheduled</w:t>
      </w:r>
      <w:r>
        <w:rPr>
          <w:rFonts w:cs="Arial"/>
          <w:kern w:val="2"/>
          <w:lang w:eastAsia="ja-JP"/>
        </w:rPr>
        <w:t xml:space="preserve"> at a later time together with the corresponding information type prioritization. Such ‘look-ahead’</w:t>
      </w:r>
      <w:r w:rsidR="00CF2EEA">
        <w:rPr>
          <w:rFonts w:cs="Arial"/>
          <w:kern w:val="2"/>
          <w:lang w:eastAsia="ja-JP"/>
        </w:rPr>
        <w:t xml:space="preserve"> operation is </w:t>
      </w:r>
      <w:r>
        <w:rPr>
          <w:rFonts w:cs="Arial"/>
          <w:kern w:val="2"/>
          <w:lang w:eastAsia="ja-JP"/>
        </w:rPr>
        <w:t>supported in Rel-15 for determining a channel, among multiple overlapping PUCCH/PUSCH, for multiplexing UC</w:t>
      </w:r>
      <w:r w:rsidR="00CF2EEA">
        <w:rPr>
          <w:rFonts w:cs="Arial"/>
          <w:kern w:val="2"/>
          <w:lang w:eastAsia="ja-JP"/>
        </w:rPr>
        <w:t>I. The same mechanism can apply for determining a power. This is overall a simpler functionality for a UE to support than</w:t>
      </w:r>
      <w:r>
        <w:rPr>
          <w:rFonts w:cs="Arial"/>
          <w:kern w:val="2"/>
          <w:lang w:eastAsia="ja-JP"/>
        </w:rPr>
        <w:t xml:space="preserve"> determining a channel and multiplexing UCI</w:t>
      </w:r>
      <w:r w:rsidR="00CF2EEA">
        <w:rPr>
          <w:rFonts w:cs="Arial"/>
          <w:kern w:val="2"/>
          <w:lang w:eastAsia="ja-JP"/>
        </w:rPr>
        <w:t xml:space="preserve"> in that channel. The timelines may actually be tightened compared to Rel-15 but, given the time limitation for the completion of the WI, the Rel-15 timelines can apply</w:t>
      </w:r>
      <w:r>
        <w:rPr>
          <w:rFonts w:cs="Arial"/>
          <w:kern w:val="2"/>
          <w:lang w:eastAsia="ja-JP"/>
        </w:rPr>
        <w:t xml:space="preserve">. </w:t>
      </w:r>
    </w:p>
    <w:p w:rsidR="00FA2012" w:rsidRDefault="00FA2012" w:rsidP="00EB0262">
      <w:pPr>
        <w:spacing w:after="0"/>
        <w:jc w:val="both"/>
        <w:rPr>
          <w:rFonts w:cs="Arial"/>
          <w:kern w:val="2"/>
          <w:lang w:eastAsia="ja-JP"/>
        </w:rPr>
      </w:pPr>
    </w:p>
    <w:p w:rsidR="00155E15" w:rsidRDefault="0088643C" w:rsidP="00B83E73">
      <w:pPr>
        <w:spacing w:after="0"/>
        <w:jc w:val="both"/>
        <w:rPr>
          <w:rFonts w:cs="Arial"/>
          <w:kern w:val="2"/>
          <w:lang w:eastAsia="ja-JP"/>
        </w:rPr>
      </w:pPr>
      <w:r>
        <w:rPr>
          <w:rFonts w:cs="Arial"/>
          <w:kern w:val="2"/>
          <w:lang w:eastAsia="ja-JP"/>
        </w:rPr>
        <w:t xml:space="preserve">Considering the above, the last approach is preferable. </w:t>
      </w:r>
    </w:p>
    <w:p w:rsidR="0088643C" w:rsidRDefault="0088643C" w:rsidP="00B83E73">
      <w:pPr>
        <w:spacing w:after="0"/>
        <w:jc w:val="both"/>
        <w:rPr>
          <w:rFonts w:cs="Arial"/>
          <w:kern w:val="2"/>
          <w:lang w:val="en-GB" w:eastAsia="ja-JP"/>
        </w:rPr>
      </w:pPr>
    </w:p>
    <w:p w:rsidR="0088643C" w:rsidRDefault="0088643C" w:rsidP="0088643C">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For NR-DC in FR1, support dynamic sharing of UE transmission power.</w:t>
      </w:r>
    </w:p>
    <w:p w:rsidR="0088643C" w:rsidRDefault="0088643C" w:rsidP="0088643C">
      <w:pPr>
        <w:spacing w:after="0"/>
        <w:jc w:val="both"/>
        <w:rPr>
          <w:rFonts w:cs="Arial"/>
          <w:b/>
          <w:kern w:val="2"/>
          <w:u w:val="single"/>
          <w:lang w:eastAsia="ja-JP"/>
        </w:rPr>
      </w:pPr>
    </w:p>
    <w:p w:rsidR="0088643C" w:rsidRDefault="0088643C" w:rsidP="0088643C">
      <w:pPr>
        <w:spacing w:after="0"/>
        <w:jc w:val="both"/>
        <w:rPr>
          <w:b/>
          <w:u w:val="single"/>
        </w:rPr>
      </w:pPr>
      <w:r>
        <w:rPr>
          <w:rFonts w:cs="Arial"/>
          <w:b/>
          <w:kern w:val="2"/>
          <w:u w:val="single"/>
          <w:lang w:eastAsia="ja-JP"/>
        </w:rPr>
        <w:t>Proposal 2: For NR-DC in FR1, support configuration to a UE of minimum available powers for respective transmissions on the MCG and the SCG.</w:t>
      </w:r>
      <w:r>
        <w:rPr>
          <w:b/>
          <w:u w:val="single"/>
        </w:rPr>
        <w:t xml:space="preserve"> </w:t>
      </w:r>
    </w:p>
    <w:p w:rsidR="0088643C" w:rsidRDefault="0088643C" w:rsidP="0088643C">
      <w:pPr>
        <w:spacing w:after="0"/>
        <w:jc w:val="both"/>
        <w:rPr>
          <w:b/>
          <w:u w:val="single"/>
        </w:rPr>
      </w:pPr>
    </w:p>
    <w:p w:rsidR="0088643C" w:rsidRDefault="0088643C" w:rsidP="0088643C">
      <w:pPr>
        <w:spacing w:after="0"/>
        <w:jc w:val="both"/>
        <w:rPr>
          <w:b/>
          <w:u w:val="single"/>
        </w:rPr>
      </w:pPr>
      <w:r>
        <w:rPr>
          <w:b/>
          <w:u w:val="single"/>
        </w:rPr>
        <w:t xml:space="preserve">Proposal 3: For NR-DC in FR1 and for determining a power for a transmission, a UE considers </w:t>
      </w:r>
      <w:r w:rsidR="009E1858">
        <w:rPr>
          <w:b/>
          <w:u w:val="single"/>
        </w:rPr>
        <w:t>a power for later scheduled overlapping</w:t>
      </w:r>
      <w:r>
        <w:rPr>
          <w:b/>
          <w:u w:val="single"/>
        </w:rPr>
        <w:t xml:space="preserve"> transmissions subject to the same timelines as for determining a channel among overlapping channels for UCI multiplexing in Rel-15. </w:t>
      </w:r>
    </w:p>
    <w:p w:rsidR="004858F0" w:rsidRPr="00493BC2" w:rsidRDefault="004858F0" w:rsidP="00B83E73">
      <w:pPr>
        <w:spacing w:after="0"/>
        <w:jc w:val="both"/>
        <w:rPr>
          <w:rFonts w:cs="Arial"/>
          <w:kern w:val="2"/>
          <w:lang w:val="en-GB" w:eastAsia="ja-JP"/>
        </w:rPr>
      </w:pPr>
    </w:p>
    <w:p w:rsidR="00155E15" w:rsidRDefault="00155E15" w:rsidP="00B83E73">
      <w:pPr>
        <w:spacing w:after="0"/>
        <w:jc w:val="both"/>
        <w:rPr>
          <w:rFonts w:cs="Arial"/>
          <w:kern w:val="2"/>
          <w:lang w:eastAsia="ja-JP"/>
        </w:rPr>
      </w:pPr>
    </w:p>
    <w:p w:rsidR="0088643C" w:rsidRDefault="0088643C" w:rsidP="00B83E73">
      <w:pPr>
        <w:spacing w:after="0"/>
        <w:jc w:val="both"/>
        <w:rPr>
          <w:rFonts w:cs="Arial"/>
          <w:kern w:val="2"/>
          <w:lang w:eastAsia="ja-JP"/>
        </w:rPr>
      </w:pPr>
      <w:r>
        <w:rPr>
          <w:rFonts w:cs="Arial"/>
          <w:kern w:val="2"/>
          <w:lang w:eastAsia="ja-JP"/>
        </w:rPr>
        <w:t>If semi-static power sharing also needs to be supported, the UE can be additionally configured (1 bit) whether or not a total transmission power on a CG can exceed the minimum available power (subject to P</w:t>
      </w:r>
      <w:r w:rsidRPr="00192B7F">
        <w:rPr>
          <w:rFonts w:cs="Arial"/>
          <w:kern w:val="2"/>
          <w:vertAlign w:val="subscript"/>
          <w:lang w:eastAsia="ja-JP"/>
        </w:rPr>
        <w:t>CM</w:t>
      </w:r>
      <w:r>
        <w:rPr>
          <w:rFonts w:cs="Arial"/>
          <w:kern w:val="2"/>
          <w:vertAlign w:val="subscript"/>
          <w:lang w:eastAsia="ja-JP"/>
        </w:rPr>
        <w:t>AX</w:t>
      </w:r>
      <w:r>
        <w:rPr>
          <w:rFonts w:cs="Arial"/>
          <w:kern w:val="2"/>
          <w:lang w:eastAsia="ja-JP"/>
        </w:rPr>
        <w:t xml:space="preserve"> being the maximum available power). </w:t>
      </w:r>
    </w:p>
    <w:p w:rsidR="00FC1D6C" w:rsidRDefault="00FC1D6C" w:rsidP="00B83E73">
      <w:pPr>
        <w:spacing w:after="0"/>
        <w:jc w:val="both"/>
        <w:rPr>
          <w:rFonts w:cs="Arial"/>
          <w:kern w:val="2"/>
          <w:lang w:eastAsia="ja-JP"/>
        </w:rPr>
      </w:pPr>
    </w:p>
    <w:p w:rsidR="0088643C" w:rsidRDefault="00FC1D6C" w:rsidP="00B83E73">
      <w:pPr>
        <w:spacing w:after="0"/>
        <w:jc w:val="both"/>
        <w:rPr>
          <w:rFonts w:cs="Arial"/>
          <w:kern w:val="2"/>
          <w:lang w:eastAsia="ja-JP"/>
        </w:rPr>
      </w:pPr>
      <w:r>
        <w:rPr>
          <w:rFonts w:cs="Arial"/>
          <w:kern w:val="2"/>
          <w:lang w:eastAsia="ja-JP"/>
        </w:rPr>
        <w:t>Sinc</w:t>
      </w:r>
      <w:r w:rsidR="0088643C">
        <w:rPr>
          <w:rFonts w:cs="Arial"/>
          <w:kern w:val="2"/>
          <w:lang w:eastAsia="ja-JP"/>
        </w:rPr>
        <w:t>e with dynamic power sharing a</w:t>
      </w:r>
      <w:r>
        <w:rPr>
          <w:rFonts w:cs="Arial"/>
          <w:kern w:val="2"/>
          <w:lang w:eastAsia="ja-JP"/>
        </w:rPr>
        <w:t xml:space="preserve"> total </w:t>
      </w:r>
      <w:r w:rsidR="0088643C">
        <w:rPr>
          <w:rFonts w:cs="Arial"/>
          <w:kern w:val="2"/>
          <w:lang w:eastAsia="ja-JP"/>
        </w:rPr>
        <w:t xml:space="preserve">UE </w:t>
      </w:r>
      <w:r>
        <w:rPr>
          <w:rFonts w:cs="Arial"/>
          <w:kern w:val="2"/>
          <w:lang w:eastAsia="ja-JP"/>
        </w:rPr>
        <w:t>transmission power at a given time can exceed P</w:t>
      </w:r>
      <w:r w:rsidRPr="00192B7F">
        <w:rPr>
          <w:rFonts w:cs="Arial"/>
          <w:kern w:val="2"/>
          <w:vertAlign w:val="subscript"/>
          <w:lang w:eastAsia="ja-JP"/>
        </w:rPr>
        <w:t>CM</w:t>
      </w:r>
      <w:r>
        <w:rPr>
          <w:rFonts w:cs="Arial"/>
          <w:kern w:val="2"/>
          <w:vertAlign w:val="subscript"/>
          <w:lang w:eastAsia="ja-JP"/>
        </w:rPr>
        <w:t>AX</w:t>
      </w:r>
      <w:r>
        <w:rPr>
          <w:rFonts w:cs="Arial"/>
          <w:kern w:val="2"/>
          <w:lang w:eastAsia="ja-JP"/>
        </w:rPr>
        <w:t>, power prioritization rules are needed for the channels/signals to be power scaled</w:t>
      </w:r>
      <w:r w:rsidR="0088643C">
        <w:rPr>
          <w:rFonts w:cs="Arial"/>
          <w:kern w:val="2"/>
          <w:lang w:eastAsia="ja-JP"/>
        </w:rPr>
        <w:t>/dropped</w:t>
      </w:r>
      <w:r>
        <w:rPr>
          <w:rFonts w:cs="Arial"/>
          <w:kern w:val="2"/>
          <w:lang w:eastAsia="ja-JP"/>
        </w:rPr>
        <w:t xml:space="preserve">. </w:t>
      </w:r>
      <w:r w:rsidR="0088643C">
        <w:rPr>
          <w:rFonts w:cs="Arial"/>
          <w:kern w:val="2"/>
          <w:lang w:eastAsia="ja-JP"/>
        </w:rPr>
        <w:t xml:space="preserve">The Rel-15 CA rules can apply with the additional consideration for URLLC. </w:t>
      </w:r>
    </w:p>
    <w:p w:rsidR="00FC1D6C" w:rsidRDefault="00FC1D6C" w:rsidP="00B83E73">
      <w:pPr>
        <w:spacing w:after="0"/>
        <w:jc w:val="both"/>
        <w:rPr>
          <w:rFonts w:cs="Arial"/>
          <w:kern w:val="2"/>
          <w:lang w:eastAsia="ja-JP"/>
        </w:rPr>
      </w:pPr>
    </w:p>
    <w:p w:rsidR="00FC1D6C" w:rsidRDefault="00FC1D6C" w:rsidP="00FC1D6C">
      <w:pPr>
        <w:spacing w:after="0"/>
        <w:jc w:val="both"/>
        <w:rPr>
          <w:rFonts w:cs="Arial"/>
          <w:b/>
          <w:kern w:val="2"/>
          <w:u w:val="single"/>
          <w:lang w:eastAsia="ja-JP"/>
        </w:rPr>
      </w:pPr>
      <w:r>
        <w:rPr>
          <w:rFonts w:cs="Arial"/>
          <w:b/>
          <w:kern w:val="2"/>
          <w:u w:val="single"/>
          <w:lang w:eastAsia="ja-JP"/>
        </w:rPr>
        <w:t xml:space="preserve">Proposal </w:t>
      </w:r>
      <w:r w:rsidR="0088643C">
        <w:rPr>
          <w:rFonts w:eastAsia="SimSun" w:cs="Arial"/>
          <w:b/>
          <w:kern w:val="2"/>
          <w:u w:val="single"/>
          <w:lang w:eastAsia="zh-CN"/>
        </w:rPr>
        <w:t>4</w:t>
      </w:r>
      <w:r w:rsidRPr="00E14100">
        <w:rPr>
          <w:rFonts w:cs="Arial"/>
          <w:b/>
          <w:kern w:val="2"/>
          <w:u w:val="single"/>
          <w:lang w:eastAsia="ja-JP"/>
        </w:rPr>
        <w:t xml:space="preserve">: </w:t>
      </w:r>
      <w:r w:rsidR="0088643C">
        <w:rPr>
          <w:rFonts w:cs="Arial"/>
          <w:b/>
          <w:kern w:val="2"/>
          <w:u w:val="single"/>
          <w:lang w:eastAsia="ja-JP"/>
        </w:rPr>
        <w:t xml:space="preserve">For NR-DC in FR1, </w:t>
      </w:r>
      <w:r w:rsidR="008E4879">
        <w:rPr>
          <w:rFonts w:cs="Arial"/>
          <w:b/>
          <w:kern w:val="2"/>
          <w:u w:val="single"/>
          <w:lang w:eastAsia="ja-JP"/>
        </w:rPr>
        <w:t>a power limited UE applies Rel-15</w:t>
      </w:r>
      <w:r>
        <w:rPr>
          <w:rFonts w:cs="Arial"/>
          <w:b/>
          <w:kern w:val="2"/>
          <w:u w:val="single"/>
          <w:lang w:eastAsia="ja-JP"/>
        </w:rPr>
        <w:t xml:space="preserve"> CA power allo</w:t>
      </w:r>
      <w:r w:rsidR="0088643C">
        <w:rPr>
          <w:rFonts w:cs="Arial"/>
          <w:b/>
          <w:kern w:val="2"/>
          <w:u w:val="single"/>
          <w:lang w:eastAsia="ja-JP"/>
        </w:rPr>
        <w:t>cation prioritization rules for transmissions in different</w:t>
      </w:r>
      <w:r w:rsidR="008E4879">
        <w:rPr>
          <w:rFonts w:cs="Arial"/>
          <w:b/>
          <w:kern w:val="2"/>
          <w:u w:val="single"/>
          <w:lang w:eastAsia="ja-JP"/>
        </w:rPr>
        <w:t xml:space="preserve"> CGs</w:t>
      </w:r>
      <w:r>
        <w:rPr>
          <w:rFonts w:cs="Arial"/>
          <w:b/>
          <w:kern w:val="2"/>
          <w:u w:val="single"/>
          <w:lang w:eastAsia="ja-JP"/>
        </w:rPr>
        <w:t>. In case of a same priorit</w:t>
      </w:r>
      <w:r w:rsidR="00CB6548">
        <w:rPr>
          <w:rFonts w:cs="Arial"/>
          <w:b/>
          <w:kern w:val="2"/>
          <w:u w:val="single"/>
          <w:lang w:eastAsia="ja-JP"/>
        </w:rPr>
        <w:t>ization, power allocation is prioritized for</w:t>
      </w:r>
      <w:r>
        <w:rPr>
          <w:rFonts w:cs="Arial"/>
          <w:b/>
          <w:kern w:val="2"/>
          <w:u w:val="single"/>
          <w:lang w:eastAsia="ja-JP"/>
        </w:rPr>
        <w:t xml:space="preserve"> transmission</w:t>
      </w:r>
      <w:r w:rsidR="00CB6548">
        <w:rPr>
          <w:rFonts w:cs="Arial"/>
          <w:b/>
          <w:kern w:val="2"/>
          <w:u w:val="single"/>
          <w:lang w:eastAsia="ja-JP"/>
        </w:rPr>
        <w:t>s on the MCG</w:t>
      </w:r>
      <w:r>
        <w:rPr>
          <w:rFonts w:cs="Arial"/>
          <w:b/>
          <w:kern w:val="2"/>
          <w:u w:val="single"/>
          <w:lang w:eastAsia="ja-JP"/>
        </w:rPr>
        <w:t xml:space="preserve">. </w:t>
      </w:r>
      <w:r w:rsidR="008E4879">
        <w:rPr>
          <w:rFonts w:cs="Arial"/>
          <w:b/>
          <w:kern w:val="2"/>
          <w:u w:val="single"/>
          <w:lang w:eastAsia="ja-JP"/>
        </w:rPr>
        <w:t>FFS for URLLC.</w:t>
      </w:r>
    </w:p>
    <w:p w:rsidR="008470A5" w:rsidRPr="00673F7F" w:rsidRDefault="00FC1D6C" w:rsidP="00922AB5">
      <w:pPr>
        <w:spacing w:after="0"/>
        <w:jc w:val="both"/>
        <w:rPr>
          <w:rFonts w:cs="Arial"/>
          <w:b/>
          <w:kern w:val="2"/>
          <w:u w:val="single"/>
          <w:lang w:eastAsia="ja-JP"/>
        </w:rPr>
      </w:pPr>
      <w:r>
        <w:rPr>
          <w:rFonts w:cs="Arial"/>
          <w:b/>
          <w:kern w:val="2"/>
          <w:u w:val="single"/>
          <w:lang w:eastAsia="ja-JP"/>
        </w:rPr>
        <w:t xml:space="preserve">  </w:t>
      </w: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 oper</w:t>
      </w:r>
      <w:r w:rsidR="00673F7F">
        <w:t xml:space="preserve">ation for </w:t>
      </w:r>
      <w:r w:rsidR="008F48BF">
        <w:t>NR-DC</w:t>
      </w:r>
      <w:r w:rsidR="00673F7F">
        <w:t xml:space="preserve"> operation in a same</w:t>
      </w:r>
      <w:r w:rsidR="00864103">
        <w:t xml:space="preserve"> frequency range</w:t>
      </w:r>
      <w:r w:rsidR="00E07BC7">
        <w:t xml:space="preserve"> and proposes the following</w:t>
      </w:r>
      <w:r w:rsidR="006C77D4">
        <w:t>.</w:t>
      </w:r>
    </w:p>
    <w:p w:rsidR="00353ADB" w:rsidRDefault="00353ADB" w:rsidP="00353ADB">
      <w:pPr>
        <w:spacing w:after="0"/>
        <w:ind w:right="3"/>
        <w:jc w:val="both"/>
        <w:rPr>
          <w:b/>
          <w:u w:val="single"/>
        </w:rPr>
      </w:pPr>
    </w:p>
    <w:p w:rsidR="008E4879" w:rsidRDefault="008E4879" w:rsidP="008E4879">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For NR-DC in FR1, support dynamic sharing of UE transmission power.</w:t>
      </w:r>
    </w:p>
    <w:p w:rsidR="008E4879" w:rsidRDefault="008E4879" w:rsidP="008E4879">
      <w:pPr>
        <w:spacing w:after="0"/>
        <w:jc w:val="both"/>
        <w:rPr>
          <w:rFonts w:cs="Arial"/>
          <w:b/>
          <w:kern w:val="2"/>
          <w:u w:val="single"/>
          <w:lang w:eastAsia="ja-JP"/>
        </w:rPr>
      </w:pPr>
    </w:p>
    <w:p w:rsidR="008E4879" w:rsidRDefault="008E4879" w:rsidP="008E4879">
      <w:pPr>
        <w:spacing w:after="0"/>
        <w:jc w:val="both"/>
        <w:rPr>
          <w:b/>
          <w:u w:val="single"/>
        </w:rPr>
      </w:pPr>
      <w:r>
        <w:rPr>
          <w:rFonts w:cs="Arial"/>
          <w:b/>
          <w:kern w:val="2"/>
          <w:u w:val="single"/>
          <w:lang w:eastAsia="ja-JP"/>
        </w:rPr>
        <w:t>Proposal 2: For NR-DC in FR1, support configuration to a UE of minimum available powers for respective transmissions on the MCG and the SCG.</w:t>
      </w:r>
      <w:r>
        <w:rPr>
          <w:b/>
          <w:u w:val="single"/>
        </w:rPr>
        <w:t xml:space="preserve"> </w:t>
      </w:r>
    </w:p>
    <w:p w:rsidR="008E4879" w:rsidRDefault="008E4879" w:rsidP="008E4879">
      <w:pPr>
        <w:spacing w:after="0"/>
        <w:jc w:val="both"/>
        <w:rPr>
          <w:b/>
          <w:u w:val="single"/>
        </w:rPr>
      </w:pPr>
    </w:p>
    <w:p w:rsidR="009E1858" w:rsidRDefault="009E1858" w:rsidP="009E1858">
      <w:pPr>
        <w:spacing w:after="0"/>
        <w:jc w:val="both"/>
        <w:rPr>
          <w:b/>
          <w:u w:val="single"/>
        </w:rPr>
      </w:pPr>
      <w:r>
        <w:rPr>
          <w:b/>
          <w:u w:val="single"/>
        </w:rPr>
        <w:t xml:space="preserve">Proposal 3: For NR-DC in FR1 and for determining a power for a transmission, a UE considers a power for later scheduled overlapping transmissions subject to the same timelines as for determining a channel among overlapping channels for UCI multiplexing in Rel-15. </w:t>
      </w:r>
    </w:p>
    <w:p w:rsidR="003B389B" w:rsidRDefault="003B389B" w:rsidP="00C651C5">
      <w:pPr>
        <w:spacing w:after="0"/>
        <w:jc w:val="both"/>
        <w:rPr>
          <w:lang w:eastAsia="ko-KR"/>
        </w:rPr>
      </w:pPr>
    </w:p>
    <w:p w:rsidR="008E4879" w:rsidRDefault="008E4879" w:rsidP="008E4879">
      <w:pPr>
        <w:spacing w:after="0"/>
        <w:jc w:val="both"/>
        <w:rPr>
          <w:rFonts w:cs="Arial"/>
          <w:b/>
          <w:kern w:val="2"/>
          <w:u w:val="single"/>
          <w:lang w:eastAsia="ja-JP"/>
        </w:rPr>
      </w:pPr>
      <w:r>
        <w:rPr>
          <w:rFonts w:cs="Arial"/>
          <w:b/>
          <w:kern w:val="2"/>
          <w:u w:val="single"/>
          <w:lang w:eastAsia="ja-JP"/>
        </w:rPr>
        <w:lastRenderedPageBreak/>
        <w:t xml:space="preserve">Proposal </w:t>
      </w:r>
      <w:r>
        <w:rPr>
          <w:rFonts w:eastAsia="SimSun" w:cs="Arial"/>
          <w:b/>
          <w:kern w:val="2"/>
          <w:u w:val="single"/>
          <w:lang w:eastAsia="zh-CN"/>
        </w:rPr>
        <w:t>4</w:t>
      </w:r>
      <w:r w:rsidRPr="00E14100">
        <w:rPr>
          <w:rFonts w:cs="Arial"/>
          <w:b/>
          <w:kern w:val="2"/>
          <w:u w:val="single"/>
          <w:lang w:eastAsia="ja-JP"/>
        </w:rPr>
        <w:t xml:space="preserve">: </w:t>
      </w:r>
      <w:r>
        <w:rPr>
          <w:rFonts w:cs="Arial"/>
          <w:b/>
          <w:kern w:val="2"/>
          <w:u w:val="single"/>
          <w:lang w:eastAsia="ja-JP"/>
        </w:rPr>
        <w:t>For NR-DC in FR1, a power limited UE applies Rel-15 CA power allocation prioritization rules for transmissions in different CGs. In case of a same prioritization, power allocation is prioritized for transmissions on the MCG. FFS for URLLC.</w:t>
      </w:r>
    </w:p>
    <w:p w:rsidR="008E4879" w:rsidRDefault="008E4879" w:rsidP="00C651C5">
      <w:pPr>
        <w:spacing w:after="0"/>
        <w:jc w:val="both"/>
        <w:rPr>
          <w:lang w:eastAsia="ko-KR"/>
        </w:rPr>
      </w:pPr>
    </w:p>
    <w:p w:rsidR="00120452" w:rsidRDefault="00120452" w:rsidP="00C651C5">
      <w:pPr>
        <w:spacing w:after="0"/>
        <w:jc w:val="both"/>
        <w:rPr>
          <w:rFonts w:cs="Arial"/>
          <w:b/>
          <w:kern w:val="2"/>
          <w:u w:val="single"/>
          <w:lang w:eastAsia="ja-JP"/>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F827FA" w:rsidRDefault="0034136F" w:rsidP="00AA284D">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006FFB" w:rsidRPr="008E4879" w:rsidRDefault="00F827FA" w:rsidP="008E4879">
      <w:pPr>
        <w:widowControl w:val="0"/>
        <w:numPr>
          <w:ilvl w:val="0"/>
          <w:numId w:val="15"/>
        </w:numPr>
        <w:spacing w:after="60"/>
        <w:jc w:val="both"/>
        <w:rPr>
          <w:rFonts w:eastAsia="SimSun"/>
          <w:sz w:val="14"/>
          <w:lang w:eastAsia="zh-CN"/>
        </w:rPr>
      </w:pPr>
      <w:r w:rsidRPr="00F827FA">
        <w:rPr>
          <w:rFonts w:cs="Arial"/>
          <w:bCs/>
          <w:szCs w:val="24"/>
          <w:lang w:val="de-DE"/>
        </w:rPr>
        <w:t>3GPP TSG RAN WG1 #91,</w:t>
      </w:r>
      <w:r w:rsidRPr="00F827FA">
        <w:rPr>
          <w:szCs w:val="24"/>
        </w:rPr>
        <w:t xml:space="preserve"> Chairman’s Notes</w:t>
      </w:r>
    </w:p>
    <w:sectPr w:rsidR="00006FFB" w:rsidRPr="008E4879"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083" w:rsidRPr="00C47AD2" w:rsidRDefault="00226083">
      <w:pPr>
        <w:rPr>
          <w:rFonts w:ascii="Arial" w:hAnsi="Arial"/>
          <w:sz w:val="12"/>
        </w:rPr>
      </w:pPr>
      <w:r>
        <w:separator/>
      </w:r>
    </w:p>
  </w:endnote>
  <w:endnote w:type="continuationSeparator" w:id="0">
    <w:p w:rsidR="00226083" w:rsidRPr="00C47AD2" w:rsidRDefault="0022608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FB18CA">
      <w:rPr>
        <w:rStyle w:val="PageNumber"/>
      </w:rPr>
      <w:t>2</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083" w:rsidRPr="00C47AD2" w:rsidRDefault="00226083">
      <w:pPr>
        <w:rPr>
          <w:rFonts w:ascii="Arial" w:hAnsi="Arial"/>
          <w:sz w:val="12"/>
        </w:rPr>
      </w:pPr>
      <w:r>
        <w:separator/>
      </w:r>
    </w:p>
  </w:footnote>
  <w:footnote w:type="continuationSeparator" w:id="0">
    <w:p w:rsidR="00226083" w:rsidRPr="00C47AD2" w:rsidRDefault="0022608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AFC176B"/>
    <w:multiLevelType w:val="hybridMultilevel"/>
    <w:tmpl w:val="543A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C546BD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25940"/>
    <w:multiLevelType w:val="hybridMultilevel"/>
    <w:tmpl w:val="E326D0F8"/>
    <w:lvl w:ilvl="0" w:tplc="B652E6FA">
      <w:start w:val="1"/>
      <w:numFmt w:val="bullet"/>
      <w:lvlText w:val="•"/>
      <w:lvlJc w:val="left"/>
      <w:pPr>
        <w:ind w:left="746" w:hanging="360"/>
      </w:pPr>
      <w:rPr>
        <w:rFonts w:ascii="Batang" w:eastAsia="Batang" w:hAnsi="Batang" w:hint="eastAsia"/>
      </w:rPr>
    </w:lvl>
    <w:lvl w:ilvl="1" w:tplc="04090003">
      <w:start w:val="1"/>
      <w:numFmt w:val="bullet"/>
      <w:lvlText w:val="–"/>
      <w:lvlJc w:val="left"/>
      <w:pPr>
        <w:ind w:left="1186" w:hanging="400"/>
      </w:pPr>
      <w:rPr>
        <w:rFonts w:ascii="Malgun Gothic" w:eastAsia="Malgun Gothic" w:hAnsi="Malgun Gothic" w:hint="eastAsia"/>
      </w:rPr>
    </w:lvl>
    <w:lvl w:ilvl="2" w:tplc="04090005">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27"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5"/>
  </w:num>
  <w:num w:numId="10">
    <w:abstractNumId w:val="5"/>
  </w:num>
  <w:num w:numId="11">
    <w:abstractNumId w:val="7"/>
  </w:num>
  <w:num w:numId="12">
    <w:abstractNumId w:val="2"/>
  </w:num>
  <w:num w:numId="13">
    <w:abstractNumId w:val="28"/>
  </w:num>
  <w:num w:numId="14">
    <w:abstractNumId w:val="19"/>
  </w:num>
  <w:num w:numId="15">
    <w:abstractNumId w:val="26"/>
  </w:num>
  <w:num w:numId="16">
    <w:abstractNumId w:val="4"/>
  </w:num>
  <w:num w:numId="17">
    <w:abstractNumId w:val="3"/>
  </w:num>
  <w:num w:numId="18">
    <w:abstractNumId w:val="16"/>
  </w:num>
  <w:num w:numId="19">
    <w:abstractNumId w:val="21"/>
  </w:num>
  <w:num w:numId="20">
    <w:abstractNumId w:val="20"/>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7"/>
  </w:num>
  <w:num w:numId="40">
    <w:abstractNumId w:val="22"/>
  </w:num>
  <w:num w:numId="41">
    <w:abstractNumId w:val="8"/>
  </w:num>
  <w:num w:numId="42">
    <w:abstractNumId w:val="8"/>
  </w:num>
  <w:num w:numId="43">
    <w:abstractNumId w:val="18"/>
  </w:num>
  <w:num w:numId="44">
    <w:abstractNumId w:val="9"/>
  </w:num>
  <w:num w:numId="45">
    <w:abstractNumId w:val="23"/>
  </w:num>
  <w:num w:numId="46">
    <w:abstractNumId w:val="6"/>
  </w:num>
  <w:num w:numId="47">
    <w:abstractNumId w:val="12"/>
  </w:num>
  <w:num w:numId="4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32E"/>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9ECED"/>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22488-3942-4637-95DA-8E2B058F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2465</TotalTime>
  <Pages>3</Pages>
  <Words>1280</Words>
  <Characters>7299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75</cp:revision>
  <cp:lastPrinted>2010-03-24T02:20:00Z</cp:lastPrinted>
  <dcterms:created xsi:type="dcterms:W3CDTF">2019-01-04T00:22:00Z</dcterms:created>
  <dcterms:modified xsi:type="dcterms:W3CDTF">2019-03-28T05:05:00Z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